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93" w:rsidRDefault="003134B4">
      <w:pPr>
        <w:pStyle w:val="Normale1"/>
      </w:pPr>
      <w:bookmarkStart w:id="0" w:name="_gjdgxs" w:colFirst="0" w:colLast="0"/>
      <w:bookmarkStart w:id="1" w:name="_GoBack"/>
      <w:bookmarkEnd w:id="0"/>
      <w:bookmarkEnd w:id="1"/>
      <w:r>
        <w:t>Allegato 2 Circolare docenti n.</w:t>
      </w:r>
    </w:p>
    <w:p w:rsidR="00CD7B93" w:rsidRDefault="003134B4">
      <w:pPr>
        <w:pStyle w:val="Normale1"/>
      </w:pPr>
      <w:r>
        <w:t>ANNO SCOLASTICO 2018-19</w:t>
      </w:r>
      <w:r>
        <w:tab/>
      </w:r>
    </w:p>
    <w:p w:rsidR="00CD7B93" w:rsidRDefault="009248AC">
      <w:pPr>
        <w:pStyle w:val="Normale1"/>
      </w:pPr>
      <w:r>
        <w:t>CLASSE_________</w:t>
      </w:r>
      <w:r>
        <w:tab/>
      </w:r>
      <w:r>
        <w:tab/>
        <w:t>TUTOR</w:t>
      </w:r>
      <w:r w:rsidR="00B67C95">
        <w:t xml:space="preserve"> </w:t>
      </w:r>
      <w:r w:rsidR="003134B4">
        <w:t>______________</w:t>
      </w:r>
    </w:p>
    <w:p w:rsidR="00CD7B93" w:rsidRDefault="003134B4">
      <w:pPr>
        <w:pStyle w:val="Normale1"/>
      </w:pPr>
      <w:r>
        <w:t xml:space="preserve">Le ore svolte si intendono comprensive delle ore svolte nei percorsi di classe e nei percorsi individuali invernali od estivi. Si ricorda che i percorsi estivi dovranno esser conteggiati </w:t>
      </w:r>
      <w:proofErr w:type="spellStart"/>
      <w:r>
        <w:t>nell’a.s.</w:t>
      </w:r>
      <w:proofErr w:type="spellEnd"/>
      <w:r>
        <w:t xml:space="preserve"> precedente (ad esempio le ore svolte nel periodo 1 giugno 2016 – 31 agosto 2016 sono da conteggiare nell’anno scolastico 2015-16)</w:t>
      </w:r>
    </w:p>
    <w:p w:rsidR="00CD7B93" w:rsidRDefault="00CD7B93">
      <w:pPr>
        <w:pStyle w:val="Normale1"/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9"/>
        <w:gridCol w:w="1468"/>
        <w:gridCol w:w="2146"/>
        <w:gridCol w:w="1468"/>
        <w:gridCol w:w="2146"/>
        <w:gridCol w:w="1468"/>
        <w:gridCol w:w="2146"/>
        <w:gridCol w:w="1842"/>
      </w:tblGrid>
      <w:tr w:rsidR="009248AC" w:rsidTr="009248AC">
        <w:tc>
          <w:tcPr>
            <w:tcW w:w="627" w:type="pct"/>
            <w:vAlign w:val="center"/>
          </w:tcPr>
          <w:p w:rsidR="009248AC" w:rsidRDefault="009248AC">
            <w:pPr>
              <w:pStyle w:val="Normale1"/>
              <w:jc w:val="center"/>
            </w:pPr>
            <w:r>
              <w:t>Cognome Nome</w:t>
            </w:r>
          </w:p>
        </w:tc>
        <w:tc>
          <w:tcPr>
            <w:tcW w:w="506" w:type="pct"/>
            <w:vAlign w:val="center"/>
          </w:tcPr>
          <w:p w:rsidR="009248AC" w:rsidRDefault="009248AC">
            <w:pPr>
              <w:pStyle w:val="Normale1"/>
              <w:jc w:val="center"/>
            </w:pPr>
            <w:r>
              <w:t>Ore svolte</w:t>
            </w:r>
          </w:p>
          <w:p w:rsidR="009248AC" w:rsidRDefault="009248AC">
            <w:pPr>
              <w:pStyle w:val="Normale1"/>
              <w:jc w:val="center"/>
            </w:pPr>
            <w:r>
              <w:t>A.S. 2016-17</w:t>
            </w:r>
          </w:p>
        </w:tc>
        <w:tc>
          <w:tcPr>
            <w:tcW w:w="740" w:type="pct"/>
          </w:tcPr>
          <w:p w:rsidR="009248AC" w:rsidRPr="00D20353" w:rsidRDefault="009248AC" w:rsidP="009248AC">
            <w:pPr>
              <w:pStyle w:val="Normale1"/>
              <w:jc w:val="center"/>
            </w:pPr>
            <w:r>
              <w:t>Struttura principale</w:t>
            </w:r>
          </w:p>
        </w:tc>
        <w:tc>
          <w:tcPr>
            <w:tcW w:w="506" w:type="pct"/>
          </w:tcPr>
          <w:p w:rsidR="009248AC" w:rsidRDefault="009248AC" w:rsidP="009248AC">
            <w:pPr>
              <w:pStyle w:val="Normale1"/>
              <w:jc w:val="center"/>
            </w:pPr>
            <w:r>
              <w:t>Ore svolte</w:t>
            </w:r>
          </w:p>
          <w:p w:rsidR="009248AC" w:rsidRDefault="009248AC" w:rsidP="009248AC">
            <w:r>
              <w:t>A.S. 2017-18</w:t>
            </w:r>
          </w:p>
        </w:tc>
        <w:tc>
          <w:tcPr>
            <w:tcW w:w="740" w:type="pct"/>
            <w:vAlign w:val="center"/>
          </w:tcPr>
          <w:p w:rsidR="009248AC" w:rsidRDefault="009248AC" w:rsidP="00681F3E">
            <w:pPr>
              <w:pStyle w:val="Normale1"/>
              <w:jc w:val="center"/>
            </w:pPr>
            <w:r>
              <w:t>Struttura principale</w:t>
            </w:r>
          </w:p>
        </w:tc>
        <w:tc>
          <w:tcPr>
            <w:tcW w:w="506" w:type="pct"/>
            <w:vAlign w:val="center"/>
          </w:tcPr>
          <w:p w:rsidR="009248AC" w:rsidRDefault="009248AC" w:rsidP="00681F3E">
            <w:pPr>
              <w:pStyle w:val="Normale1"/>
              <w:jc w:val="center"/>
            </w:pPr>
            <w:r>
              <w:t>Ore svolte</w:t>
            </w:r>
          </w:p>
          <w:p w:rsidR="009248AC" w:rsidRDefault="009248AC" w:rsidP="009248AC">
            <w:pPr>
              <w:pStyle w:val="Normale1"/>
              <w:jc w:val="center"/>
            </w:pPr>
            <w:r>
              <w:t>A.S. 2018-19</w:t>
            </w:r>
          </w:p>
        </w:tc>
        <w:tc>
          <w:tcPr>
            <w:tcW w:w="740" w:type="pct"/>
          </w:tcPr>
          <w:p w:rsidR="009248AC" w:rsidRPr="00D20353" w:rsidRDefault="009248AC" w:rsidP="00681F3E">
            <w:pPr>
              <w:pStyle w:val="Normale1"/>
              <w:jc w:val="center"/>
            </w:pPr>
            <w:r>
              <w:t>Struttura principale</w:t>
            </w:r>
          </w:p>
        </w:tc>
        <w:tc>
          <w:tcPr>
            <w:tcW w:w="635" w:type="pct"/>
          </w:tcPr>
          <w:p w:rsidR="009248AC" w:rsidRDefault="009248AC" w:rsidP="00681F3E">
            <w:pPr>
              <w:pStyle w:val="Normale1"/>
              <w:jc w:val="center"/>
            </w:pPr>
            <w:r>
              <w:t>Ore Totali svolte</w:t>
            </w:r>
          </w:p>
          <w:p w:rsidR="009248AC" w:rsidRDefault="009248AC" w:rsidP="00681F3E"/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  <w:tr w:rsidR="009248AC" w:rsidTr="009248AC">
        <w:tc>
          <w:tcPr>
            <w:tcW w:w="627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506" w:type="pct"/>
          </w:tcPr>
          <w:p w:rsidR="009248AC" w:rsidRDefault="009248AC">
            <w:pPr>
              <w:pStyle w:val="Normale1"/>
            </w:pPr>
          </w:p>
        </w:tc>
        <w:tc>
          <w:tcPr>
            <w:tcW w:w="740" w:type="pct"/>
          </w:tcPr>
          <w:p w:rsidR="009248AC" w:rsidRDefault="009248AC">
            <w:pPr>
              <w:pStyle w:val="Normale1"/>
            </w:pPr>
          </w:p>
        </w:tc>
        <w:tc>
          <w:tcPr>
            <w:tcW w:w="635" w:type="pct"/>
          </w:tcPr>
          <w:p w:rsidR="009248AC" w:rsidRDefault="009248AC">
            <w:pPr>
              <w:pStyle w:val="Normale1"/>
            </w:pPr>
          </w:p>
        </w:tc>
      </w:tr>
    </w:tbl>
    <w:p w:rsidR="00CD7B93" w:rsidRDefault="00CD7B93" w:rsidP="009248AC">
      <w:pPr>
        <w:pStyle w:val="Normale1"/>
      </w:pPr>
    </w:p>
    <w:sectPr w:rsidR="00CD7B93" w:rsidSect="00924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DE" w:rsidRDefault="003535DE" w:rsidP="00CD7B93">
      <w:pPr>
        <w:spacing w:after="0" w:line="240" w:lineRule="auto"/>
      </w:pPr>
      <w:r>
        <w:separator/>
      </w:r>
    </w:p>
  </w:endnote>
  <w:endnote w:type="continuationSeparator" w:id="0">
    <w:p w:rsidR="003535DE" w:rsidRDefault="003535DE" w:rsidP="00CD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DE" w:rsidRDefault="003535DE" w:rsidP="00CD7B93">
      <w:pPr>
        <w:spacing w:after="0" w:line="240" w:lineRule="auto"/>
      </w:pPr>
      <w:r>
        <w:separator/>
      </w:r>
    </w:p>
  </w:footnote>
  <w:footnote w:type="continuationSeparator" w:id="0">
    <w:p w:rsidR="003535DE" w:rsidRDefault="003535DE" w:rsidP="00CD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85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172"/>
      <w:gridCol w:w="6893"/>
      <w:gridCol w:w="1789"/>
    </w:tblGrid>
    <w:tr w:rsidR="00CD7B93">
      <w:trPr>
        <w:trHeight w:val="520"/>
        <w:jc w:val="center"/>
      </w:trPr>
      <w:tc>
        <w:tcPr>
          <w:tcW w:w="11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D7B93" w:rsidRDefault="003134B4">
          <w:pPr>
            <w:pStyle w:val="Normale1"/>
            <w:ind w:left="9"/>
            <w:jc w:val="center"/>
          </w:pPr>
          <w:r>
            <w:rPr>
              <w:noProof/>
            </w:rPr>
            <w:drawing>
              <wp:inline distT="0" distB="0" distL="0" distR="0">
                <wp:extent cx="609600" cy="6667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D7B93" w:rsidRDefault="003134B4">
          <w:pPr>
            <w:pStyle w:val="Normale1"/>
            <w:spacing w:after="0"/>
            <w:ind w:right="11"/>
            <w:jc w:val="center"/>
          </w:pPr>
          <w:r>
            <w:rPr>
              <w:rFonts w:ascii="Cambria" w:eastAsia="Cambria" w:hAnsi="Cambria" w:cs="Cambria"/>
            </w:rPr>
            <w:t>LICEO SCIENTIFICO STATALE</w:t>
          </w:r>
          <w:r>
            <w:rPr>
              <w:rFonts w:ascii="Cambria" w:eastAsia="Cambria" w:hAnsi="Cambria" w:cs="Cambria"/>
              <w:b/>
            </w:rPr>
            <w:t xml:space="preserve"> </w:t>
          </w:r>
          <w:r>
            <w:rPr>
              <w:rFonts w:ascii="Cambria" w:eastAsia="Cambria" w:hAnsi="Cambria" w:cs="Cambria"/>
              <w:b/>
              <w:sz w:val="24"/>
              <w:szCs w:val="24"/>
            </w:rPr>
            <w:t xml:space="preserve">“A. GRAMSCI” </w:t>
          </w:r>
          <w:r>
            <w:rPr>
              <w:rFonts w:ascii="Cambria" w:eastAsia="Cambria" w:hAnsi="Cambria" w:cs="Cambria"/>
            </w:rPr>
            <w:t>IVREA</w:t>
          </w:r>
          <w:r>
            <w:rPr>
              <w:rFonts w:ascii="Cambria" w:eastAsia="Cambria" w:hAnsi="Cambria" w:cs="Cambria"/>
              <w:sz w:val="28"/>
              <w:szCs w:val="28"/>
            </w:rPr>
            <w:t xml:space="preserve"> </w:t>
          </w:r>
        </w:p>
        <w:p w:rsidR="00CD7B93" w:rsidRDefault="003134B4">
          <w:pPr>
            <w:pStyle w:val="Normale1"/>
            <w:spacing w:after="0"/>
          </w:pPr>
          <w:r>
            <w:rPr>
              <w:noProof/>
            </w:rPr>
            <w:drawing>
              <wp:inline distT="0" distB="0" distL="0" distR="0">
                <wp:extent cx="4229100" cy="647700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D7B93" w:rsidRDefault="003134B4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Via </w:t>
          </w:r>
          <w:proofErr w:type="spellStart"/>
          <w:r>
            <w:rPr>
              <w:rFonts w:ascii="Cambria" w:eastAsia="Cambria" w:hAnsi="Cambria" w:cs="Cambria"/>
              <w:sz w:val="16"/>
              <w:szCs w:val="16"/>
            </w:rPr>
            <w:t>Alberton</w:t>
          </w:r>
          <w:proofErr w:type="spellEnd"/>
          <w:r>
            <w:rPr>
              <w:rFonts w:ascii="Cambria" w:eastAsia="Cambria" w:hAnsi="Cambria" w:cs="Cambria"/>
              <w:sz w:val="16"/>
              <w:szCs w:val="16"/>
            </w:rPr>
            <w:t>, 10A 10015 IVREA (TO) – Tel. 0125 424357 – 424742 Fax 0125 424338</w:t>
          </w:r>
        </w:p>
        <w:p w:rsidR="00CD7B93" w:rsidRPr="009248AC" w:rsidRDefault="003134B4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  <w:lang w:val="en-US"/>
            </w:rPr>
          </w:pPr>
          <w:proofErr w:type="spellStart"/>
          <w:r w:rsidRPr="009248AC">
            <w:rPr>
              <w:rFonts w:ascii="Cambria" w:eastAsia="Cambria" w:hAnsi="Cambria" w:cs="Cambria"/>
              <w:sz w:val="16"/>
              <w:szCs w:val="16"/>
              <w:lang w:val="en-US"/>
            </w:rPr>
            <w:t>sito</w:t>
          </w:r>
          <w:proofErr w:type="spellEnd"/>
          <w:r w:rsidRPr="009248AC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web </w:t>
          </w:r>
          <w:hyperlink r:id="rId3">
            <w:r w:rsidRPr="009248AC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http://www.lsgramsci.it</w:t>
            </w:r>
          </w:hyperlink>
          <w:r w:rsidRPr="009248AC">
            <w:rPr>
              <w:rFonts w:ascii="Cambria" w:eastAsia="Cambria" w:hAnsi="Cambria" w:cs="Cambria"/>
              <w:sz w:val="16"/>
              <w:szCs w:val="16"/>
              <w:lang w:val="en-US"/>
            </w:rPr>
            <w:t xml:space="preserve">       </w:t>
          </w:r>
          <w:hyperlink r:id="rId4">
            <w:r w:rsidRPr="009248AC"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  <w:lang w:val="en-US"/>
              </w:rPr>
              <w:t>http://www.lsgramsci.gov.it</w:t>
            </w:r>
          </w:hyperlink>
        </w:p>
        <w:p w:rsidR="00CD7B93" w:rsidRDefault="003134B4">
          <w:pPr>
            <w:pStyle w:val="Normale1"/>
            <w:spacing w:after="0"/>
            <w:jc w:val="center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 xml:space="preserve">e-mail  </w:t>
          </w:r>
          <w:hyperlink r:id="rId5">
            <w:r>
              <w:rPr>
                <w:rFonts w:ascii="Cambria" w:eastAsia="Cambria" w:hAnsi="Cambria" w:cs="Cambria"/>
                <w:color w:val="0000FF"/>
                <w:sz w:val="16"/>
                <w:szCs w:val="16"/>
                <w:u w:val="single"/>
              </w:rPr>
              <w:t>tops01000g@istruzione.it</w:t>
            </w:r>
          </w:hyperlink>
          <w:r>
            <w:rPr>
              <w:rFonts w:ascii="Cambria" w:eastAsia="Cambria" w:hAnsi="Cambria" w:cs="Cambria"/>
              <w:sz w:val="16"/>
              <w:szCs w:val="16"/>
            </w:rPr>
            <w:t xml:space="preserve">      tops01000g@pec.istruzione.it</w:t>
          </w:r>
        </w:p>
      </w:tc>
      <w:tc>
        <w:tcPr>
          <w:tcW w:w="17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CD7B93" w:rsidRDefault="003134B4">
          <w:pPr>
            <w:pStyle w:val="Normale1"/>
            <w:spacing w:after="353"/>
            <w:ind w:left="4"/>
            <w:jc w:val="center"/>
          </w:pPr>
          <w:r>
            <w:rPr>
              <w:noProof/>
            </w:rPr>
            <w:drawing>
              <wp:inline distT="0" distB="0" distL="0" distR="0">
                <wp:extent cx="981075" cy="6286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93" w:rsidRDefault="00CD7B9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3"/>
    <w:rsid w:val="003134B4"/>
    <w:rsid w:val="003535DE"/>
    <w:rsid w:val="009248AC"/>
    <w:rsid w:val="009A7696"/>
    <w:rsid w:val="00B67C95"/>
    <w:rsid w:val="00CC198B"/>
    <w:rsid w:val="00C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696"/>
  </w:style>
  <w:style w:type="paragraph" w:styleId="Titolo1">
    <w:name w:val="heading 1"/>
    <w:basedOn w:val="Normale1"/>
    <w:next w:val="Normale1"/>
    <w:rsid w:val="00CD7B93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CD7B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D7B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D7B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D7B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D7B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7B93"/>
  </w:style>
  <w:style w:type="table" w:customStyle="1" w:styleId="TableNormal">
    <w:name w:val="Table Normal"/>
    <w:rsid w:val="00CD7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D7B93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CD7B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7B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7B93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696"/>
  </w:style>
  <w:style w:type="paragraph" w:styleId="Titolo1">
    <w:name w:val="heading 1"/>
    <w:basedOn w:val="Normale1"/>
    <w:next w:val="Normale1"/>
    <w:rsid w:val="00CD7B93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CD7B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D7B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D7B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D7B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D7B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7B93"/>
  </w:style>
  <w:style w:type="table" w:customStyle="1" w:styleId="TableNormal">
    <w:name w:val="Table Normal"/>
    <w:rsid w:val="00CD7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D7B93"/>
    <w:pPr>
      <w:spacing w:after="0" w:line="240" w:lineRule="auto"/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Sottotitolo">
    <w:name w:val="Subtitle"/>
    <w:basedOn w:val="Normale1"/>
    <w:next w:val="Normale1"/>
    <w:rsid w:val="00CD7B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7B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7B93"/>
    <w:tblPr>
      <w:tblStyleRowBandSize w:val="1"/>
      <w:tblStyleColBandSize w:val="1"/>
      <w:tblCellMar>
        <w:top w:w="46" w:type="dxa"/>
        <w:left w:w="103" w:type="dxa"/>
        <w:bottom w:w="5" w:type="dxa"/>
        <w:right w:w="91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gramsc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tops01000g@istruzione.it" TargetMode="External"/><Relationship Id="rId4" Type="http://schemas.openxmlformats.org/officeDocument/2006/relationships/hyperlink" Target="http://www.lsgramsc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 01</dc:creator>
  <cp:lastModifiedBy>PROTOCOLLO</cp:lastModifiedBy>
  <cp:revision>2</cp:revision>
  <dcterms:created xsi:type="dcterms:W3CDTF">2019-05-15T09:34:00Z</dcterms:created>
  <dcterms:modified xsi:type="dcterms:W3CDTF">2019-05-15T09:34:00Z</dcterms:modified>
</cp:coreProperties>
</file>